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86" w:rsidRPr="004B2E86" w:rsidRDefault="004B2E86" w:rsidP="004B2E86">
      <w:pPr>
        <w:autoSpaceDE w:val="0"/>
        <w:autoSpaceDN w:val="0"/>
        <w:adjustRightInd w:val="0"/>
        <w:spacing w:after="0" w:line="240" w:lineRule="auto"/>
        <w:rPr>
          <w:rFonts w:ascii="NewBaskerville-Bold" w:hAnsi="NewBaskerville-Bold" w:cs="NewBaskerville-Bold"/>
          <w:b/>
          <w:bCs/>
          <w:sz w:val="18"/>
          <w:szCs w:val="18"/>
        </w:rPr>
      </w:pPr>
      <w:r>
        <w:rPr>
          <w:rFonts w:ascii="NewBaskerville-Bold" w:hAnsi="NewBaskerville-Bold" w:cs="NewBaskerville-Bold"/>
          <w:b/>
          <w:bCs/>
          <w:sz w:val="18"/>
          <w:szCs w:val="18"/>
        </w:rPr>
        <w:t>Div-</w:t>
      </w:r>
      <w:r w:rsidRPr="004B2E86">
        <w:rPr>
          <w:rFonts w:ascii="NewBaskerville-Bold" w:hAnsi="NewBaskerville-Bold" w:cs="NewBaskerville-Bold"/>
          <w:b/>
          <w:bCs/>
          <w:sz w:val="18"/>
          <w:szCs w:val="18"/>
        </w:rPr>
        <w:t xml:space="preserve">31 00 00 Earthwork </w:t>
      </w:r>
    </w:p>
    <w:p w:rsidR="004B2E86" w:rsidRDefault="004B2E86" w:rsidP="004B2E86">
      <w:pPr>
        <w:autoSpaceDE w:val="0"/>
        <w:autoSpaceDN w:val="0"/>
        <w:adjustRightInd w:val="0"/>
        <w:spacing w:after="0" w:line="240" w:lineRule="auto"/>
        <w:rPr>
          <w:rFonts w:ascii="NewBaskerville-Bold" w:hAnsi="NewBaskerville-Bold" w:cs="NewBaskerville-Bold"/>
          <w:b/>
          <w:bCs/>
          <w:sz w:val="18"/>
          <w:szCs w:val="18"/>
        </w:rPr>
      </w:pPr>
      <w:r w:rsidRPr="004B2E86">
        <w:rPr>
          <w:rFonts w:ascii="NewBaskerville-Bold" w:hAnsi="NewBaskerville-Bold" w:cs="NewBaskerville-Bold"/>
          <w:b/>
          <w:bCs/>
          <w:sz w:val="18"/>
          <w:szCs w:val="18"/>
        </w:rPr>
        <w:t>32 23 00 Trench &amp; Backfill to supply underground utility water to sprinkler riser</w:t>
      </w:r>
    </w:p>
    <w:p w:rsidR="004B2E86" w:rsidRDefault="004B2E86" w:rsidP="00C51AC9">
      <w:pPr>
        <w:autoSpaceDE w:val="0"/>
        <w:autoSpaceDN w:val="0"/>
        <w:adjustRightInd w:val="0"/>
        <w:spacing w:after="0" w:line="240" w:lineRule="auto"/>
        <w:rPr>
          <w:rFonts w:ascii="NewBaskerville-Bold" w:hAnsi="NewBaskerville-Bold" w:cs="NewBaskerville-Bold"/>
          <w:b/>
          <w:bCs/>
          <w:sz w:val="18"/>
          <w:szCs w:val="18"/>
        </w:rPr>
      </w:pPr>
    </w:p>
    <w:p w:rsidR="00E345A7"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3.8.1.14.2 </w:t>
      </w:r>
      <w:r>
        <w:rPr>
          <w:rFonts w:ascii="NewBaskerville-BoldItalic" w:hAnsi="NewBaskerville-BoldItalic" w:cs="NewBaskerville-BoldItalic"/>
          <w:b/>
          <w:bCs/>
          <w:i/>
          <w:iCs/>
          <w:sz w:val="18"/>
          <w:szCs w:val="18"/>
        </w:rPr>
        <w:t xml:space="preserve">Flushing Test. </w:t>
      </w:r>
      <w:r>
        <w:rPr>
          <w:rFonts w:ascii="NewBaskerville-Roman" w:hAnsi="NewBaskerville-Roman" w:cs="NewBaskerville-Roman"/>
          <w:sz w:val="18"/>
          <w:szCs w:val="18"/>
        </w:rPr>
        <w:t>A test of a piping system using high velocity flows to remove debris from the piping system prior to it being placed in service.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2013]</w:t>
      </w:r>
    </w:p>
    <w:p w:rsidR="00C51AC9" w:rsidRDefault="00C51AC9" w:rsidP="00C51AC9">
      <w:pPr>
        <w:spacing w:after="0" w:line="240" w:lineRule="auto"/>
        <w:rPr>
          <w:rFonts w:ascii="NewBaskerville-Roman" w:hAnsi="NewBaskerville-Roman" w:cs="NewBaskerville-Roman"/>
          <w:sz w:val="18"/>
          <w:szCs w:val="18"/>
        </w:rPr>
      </w:pP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3.8.1.15.2 </w:t>
      </w:r>
      <w:r>
        <w:rPr>
          <w:rFonts w:ascii="NewBaskerville-BoldItalic" w:hAnsi="NewBaskerville-BoldItalic" w:cs="NewBaskerville-BoldItalic"/>
          <w:b/>
          <w:bCs/>
          <w:i/>
          <w:iCs/>
          <w:sz w:val="18"/>
          <w:szCs w:val="18"/>
        </w:rPr>
        <w:t xml:space="preserve">Indicating Valve. </w:t>
      </w:r>
      <w:proofErr w:type="gramStart"/>
      <w:r>
        <w:rPr>
          <w:rFonts w:ascii="NewBaskerville-Roman" w:hAnsi="NewBaskerville-Roman" w:cs="NewBaskerville-Roman"/>
          <w:sz w:val="18"/>
          <w:szCs w:val="18"/>
        </w:rPr>
        <w:t>A valve</w:t>
      </w:r>
      <w:r w:rsidR="005C7ED7">
        <w:rPr>
          <w:rFonts w:ascii="NewBaskerville-Roman" w:hAnsi="NewBaskerville-Roman" w:cs="NewBaskerville-Roman"/>
          <w:sz w:val="18"/>
          <w:szCs w:val="18"/>
        </w:rPr>
        <w:t xml:space="preserve"> that has components that show whether</w:t>
      </w:r>
      <w:r>
        <w:rPr>
          <w:rFonts w:ascii="NewBaskerville-Roman" w:hAnsi="NewBaskerville-Roman" w:cs="NewBaskerville-Roman"/>
          <w:sz w:val="18"/>
          <w:szCs w:val="18"/>
        </w:rPr>
        <w:t xml:space="preserve"> the valve is open or closed.</w:t>
      </w:r>
      <w:proofErr w:type="gramEnd"/>
      <w:r>
        <w:rPr>
          <w:rFonts w:ascii="NewBaskerville-Roman" w:hAnsi="NewBaskerville-Roman" w:cs="NewBaskerville-Roman"/>
          <w:sz w:val="18"/>
          <w:szCs w:val="18"/>
        </w:rPr>
        <w:t xml:space="preserve"> Examples are </w:t>
      </w:r>
      <w:r w:rsidR="00DA0D72" w:rsidRPr="00DA0D72">
        <w:rPr>
          <w:rFonts w:ascii="NewBaskerville-Roman" w:hAnsi="NewBaskerville-Roman" w:cs="NewBaskerville-Roman"/>
          <w:b/>
          <w:sz w:val="18"/>
          <w:szCs w:val="18"/>
          <w:u w:val="double"/>
        </w:rPr>
        <w:t>O</w:t>
      </w:r>
      <w:r w:rsidRPr="00DA0D72">
        <w:rPr>
          <w:rFonts w:ascii="NewBaskerville-Roman" w:hAnsi="NewBaskerville-Roman" w:cs="NewBaskerville-Roman"/>
          <w:sz w:val="18"/>
          <w:szCs w:val="18"/>
        </w:rPr>
        <w:t>utside</w:t>
      </w:r>
      <w:r>
        <w:rPr>
          <w:rFonts w:ascii="NewBaskerville-Roman" w:hAnsi="NewBaskerville-Roman" w:cs="NewBaskerville-Roman"/>
          <w:sz w:val="18"/>
          <w:szCs w:val="18"/>
        </w:rPr>
        <w:t xml:space="preserve"> </w:t>
      </w:r>
      <w:r w:rsidR="00DA0D72" w:rsidRPr="00DA0D72">
        <w:rPr>
          <w:rFonts w:ascii="NewBaskerville-Roman" w:hAnsi="NewBaskerville-Roman" w:cs="NewBaskerville-Roman"/>
          <w:b/>
          <w:sz w:val="18"/>
          <w:szCs w:val="18"/>
          <w:u w:val="double"/>
        </w:rPr>
        <w:t>S</w:t>
      </w:r>
      <w:r>
        <w:rPr>
          <w:rFonts w:ascii="NewBaskerville-Roman" w:hAnsi="NewBaskerville-Roman" w:cs="NewBaskerville-Roman"/>
          <w:sz w:val="18"/>
          <w:szCs w:val="18"/>
        </w:rPr>
        <w:t xml:space="preserve">crew and </w:t>
      </w:r>
      <w:r w:rsidR="00DA0D72" w:rsidRPr="00DA0D72">
        <w:rPr>
          <w:rFonts w:ascii="NewBaskerville-Roman" w:hAnsi="NewBaskerville-Roman" w:cs="NewBaskerville-Roman"/>
          <w:b/>
          <w:sz w:val="18"/>
          <w:szCs w:val="18"/>
          <w:u w:val="double"/>
        </w:rPr>
        <w:t>Y</w:t>
      </w:r>
      <w:r w:rsidRPr="00DA0D72">
        <w:rPr>
          <w:rFonts w:ascii="NewBaskerville-Roman" w:hAnsi="NewBaskerville-Roman" w:cs="NewBaskerville-Roman"/>
          <w:sz w:val="18"/>
          <w:szCs w:val="18"/>
        </w:rPr>
        <w:t>oke</w:t>
      </w:r>
      <w:r>
        <w:rPr>
          <w:rFonts w:ascii="NewBaskerville-Roman" w:hAnsi="NewBaskerville-Roman" w:cs="NewBaskerville-Roman"/>
          <w:sz w:val="18"/>
          <w:szCs w:val="18"/>
        </w:rPr>
        <w:t xml:space="preserve"> (OS&amp;Y) gate valves and underground gate valves with indicator posts.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2013]</w:t>
      </w:r>
    </w:p>
    <w:p w:rsidR="00C51AC9" w:rsidRDefault="00C51AC9" w:rsidP="00C51AC9">
      <w:pPr>
        <w:spacing w:after="0" w:line="240" w:lineRule="auto"/>
      </w:pPr>
      <w:bookmarkStart w:id="0" w:name="_GoBack"/>
      <w:bookmarkEnd w:id="0"/>
    </w:p>
    <w:tbl>
      <w:tblPr>
        <w:tblStyle w:val="TableGrid"/>
        <w:tblW w:w="0" w:type="auto"/>
        <w:tblLook w:val="04A0" w:firstRow="1" w:lastRow="0" w:firstColumn="1" w:lastColumn="0" w:noHBand="0" w:noVBand="1"/>
      </w:tblPr>
      <w:tblGrid>
        <w:gridCol w:w="10794"/>
        <w:gridCol w:w="222"/>
      </w:tblGrid>
      <w:tr w:rsidR="00E345A7" w:rsidTr="00E345A7">
        <w:tc>
          <w:tcPr>
            <w:tcW w:w="5508" w:type="dxa"/>
          </w:tcPr>
          <w:p w:rsidR="00E345A7" w:rsidRDefault="00E345A7" w:rsidP="008C2647">
            <w:r>
              <w:rPr>
                <w:noProof/>
              </w:rPr>
              <w:drawing>
                <wp:inline distT="0" distB="0" distL="0" distR="0">
                  <wp:extent cx="6854623" cy="4539048"/>
                  <wp:effectExtent l="19050" t="0" r="33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54190" cy="4538761"/>
                          </a:xfrm>
                          <a:prstGeom prst="rect">
                            <a:avLst/>
                          </a:prstGeom>
                          <a:noFill/>
                          <a:ln w="9525">
                            <a:noFill/>
                            <a:miter lim="800000"/>
                            <a:headEnd/>
                            <a:tailEnd/>
                          </a:ln>
                        </pic:spPr>
                      </pic:pic>
                    </a:graphicData>
                  </a:graphic>
                </wp:inline>
              </w:drawing>
            </w:r>
          </w:p>
        </w:tc>
        <w:tc>
          <w:tcPr>
            <w:tcW w:w="5508" w:type="dxa"/>
          </w:tcPr>
          <w:p w:rsidR="00E345A7" w:rsidRDefault="00E345A7" w:rsidP="008C2647"/>
        </w:tc>
      </w:tr>
    </w:tbl>
    <w:p w:rsidR="00E345A7" w:rsidRDefault="00E345A7" w:rsidP="008C2647">
      <w:pPr>
        <w:spacing w:after="0" w:line="240" w:lineRule="auto"/>
      </w:pPr>
    </w:p>
    <w:p w:rsidR="00C51AC9" w:rsidRDefault="00C51AC9" w:rsidP="00C51AC9">
      <w:pPr>
        <w:autoSpaceDE w:val="0"/>
        <w:autoSpaceDN w:val="0"/>
        <w:adjustRightInd w:val="0"/>
        <w:spacing w:after="0" w:line="240" w:lineRule="auto"/>
      </w:pPr>
      <w:r>
        <w:rPr>
          <w:rFonts w:ascii="NewBaskerville-Bold" w:hAnsi="NewBaskerville-Bold" w:cs="NewBaskerville-Bold"/>
          <w:b/>
          <w:bCs/>
          <w:sz w:val="18"/>
          <w:szCs w:val="18"/>
        </w:rPr>
        <w:t xml:space="preserve">10.8.1.1* </w:t>
      </w:r>
      <w:r>
        <w:rPr>
          <w:rFonts w:ascii="NewBaskerville-Roman" w:hAnsi="NewBaskerville-Roman" w:cs="NewBaskerville-Roman"/>
          <w:sz w:val="18"/>
          <w:szCs w:val="18"/>
        </w:rPr>
        <w:t>All tees, plugs, caps, bends, reducers, valves, and hydrant branches shall be restrained against movement by using thrust blocks in accordance with 10.8.2 or restrained joint systems in accordance with 10.8.3. [</w:t>
      </w:r>
      <w:r>
        <w:rPr>
          <w:rFonts w:ascii="NewBaskerville-Bold" w:hAnsi="NewBaskerville-Bold" w:cs="NewBaskerville-Bold"/>
          <w:b/>
          <w:bCs/>
          <w:sz w:val="18"/>
          <w:szCs w:val="18"/>
        </w:rPr>
        <w:t>24:</w:t>
      </w:r>
      <w:r>
        <w:rPr>
          <w:rFonts w:ascii="NewBaskerville-Roman" w:hAnsi="NewBaskerville-Roman" w:cs="NewBaskerville-Roman"/>
          <w:sz w:val="18"/>
          <w:szCs w:val="18"/>
        </w:rPr>
        <w:t>10.8.1.1]</w:t>
      </w:r>
    </w:p>
    <w:p w:rsidR="00E345A7" w:rsidRDefault="00E345A7" w:rsidP="008C2647">
      <w:pPr>
        <w:spacing w:after="0" w:line="240" w:lineRule="auto"/>
      </w:pP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 Acceptance Requirements. </w:t>
      </w:r>
      <w:r>
        <w:rPr>
          <w:rFonts w:ascii="NewBaskerville-Roman" w:hAnsi="NewBaskerville-Roman" w:cs="NewBaskerville-Roman"/>
          <w:sz w:val="18"/>
          <w:szCs w:val="18"/>
        </w:rPr>
        <w:t>[</w:t>
      </w:r>
      <w:r>
        <w:rPr>
          <w:rFonts w:ascii="NewBaskerville-Bold" w:hAnsi="NewBaskerville-Bold" w:cs="NewBaskerville-Bold"/>
          <w:b/>
          <w:bCs/>
          <w:sz w:val="18"/>
          <w:szCs w:val="18"/>
        </w:rPr>
        <w:t>24:</w:t>
      </w:r>
      <w:r>
        <w:rPr>
          <w:rFonts w:ascii="NewBaskerville-Roman" w:hAnsi="NewBaskerville-Roman" w:cs="NewBaskerville-Roman"/>
          <w:sz w:val="18"/>
          <w:szCs w:val="18"/>
        </w:rPr>
        <w:t>10.10.2]</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 Flushing of Piping. </w:t>
      </w:r>
      <w:r>
        <w:rPr>
          <w:rFonts w:ascii="NewBaskerville-Roman" w:hAnsi="NewBaskerville-Roman" w:cs="NewBaskerville-Roman"/>
          <w:sz w:val="18"/>
          <w:szCs w:val="18"/>
        </w:rPr>
        <w:t>[</w:t>
      </w:r>
      <w:r>
        <w:rPr>
          <w:rFonts w:ascii="NewBaskerville-Bold" w:hAnsi="NewBaskerville-Bold" w:cs="NewBaskerville-Bold"/>
          <w:b/>
          <w:bCs/>
          <w:sz w:val="18"/>
          <w:szCs w:val="18"/>
        </w:rPr>
        <w:t>24:</w:t>
      </w:r>
      <w:r>
        <w:rPr>
          <w:rFonts w:ascii="NewBaskerville-Roman" w:hAnsi="NewBaskerville-Roman" w:cs="NewBaskerville-Roman"/>
          <w:sz w:val="18"/>
          <w:szCs w:val="18"/>
        </w:rPr>
        <w:t>10.10.2.1]</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10.10.2.1.1 </w:t>
      </w:r>
      <w:r>
        <w:rPr>
          <w:rFonts w:ascii="NewBaskerville-Roman" w:hAnsi="NewBaskerville-Roman" w:cs="NewBaskerville-Roman"/>
          <w:sz w:val="18"/>
          <w:szCs w:val="18"/>
        </w:rPr>
        <w:t>Underground piping, from the water supply to the system riser, and lead-in connections to the system riser shall be completely flushed before connection is made to downstream fire protection system piping. [</w:t>
      </w:r>
      <w:r>
        <w:rPr>
          <w:rFonts w:ascii="NewBaskerville-Bold" w:hAnsi="NewBaskerville-Bold" w:cs="NewBaskerville-Bold"/>
          <w:b/>
          <w:bCs/>
          <w:sz w:val="18"/>
          <w:szCs w:val="18"/>
        </w:rPr>
        <w:t>24:</w:t>
      </w:r>
      <w:r>
        <w:rPr>
          <w:rFonts w:ascii="NewBaskerville-Roman" w:hAnsi="NewBaskerville-Roman" w:cs="NewBaskerville-Roman"/>
          <w:sz w:val="18"/>
          <w:szCs w:val="18"/>
        </w:rPr>
        <w:t>10.10.2.1.1]</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10.10.2.1.2 </w:t>
      </w:r>
      <w:r>
        <w:rPr>
          <w:rFonts w:ascii="NewBaskerville-Roman" w:hAnsi="NewBaskerville-Roman" w:cs="NewBaskerville-Roman"/>
          <w:sz w:val="18"/>
          <w:szCs w:val="18"/>
        </w:rPr>
        <w:t>The flushing operation shall be continued for a sufficient time to ensure thorough cleaning. [</w:t>
      </w:r>
      <w:r>
        <w:rPr>
          <w:rFonts w:ascii="NewBaskerville-Bold" w:hAnsi="NewBaskerville-Bold" w:cs="NewBaskerville-Bold"/>
          <w:b/>
          <w:bCs/>
          <w:sz w:val="18"/>
          <w:szCs w:val="18"/>
        </w:rPr>
        <w:t>24:</w:t>
      </w:r>
      <w:r>
        <w:rPr>
          <w:rFonts w:ascii="NewBaskerville-Roman" w:hAnsi="NewBaskerville-Roman" w:cs="NewBaskerville-Roman"/>
          <w:sz w:val="18"/>
          <w:szCs w:val="18"/>
        </w:rPr>
        <w:t>10.10.2.1.2]</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10.10.2.1.3 </w:t>
      </w:r>
      <w:r>
        <w:rPr>
          <w:rFonts w:ascii="NewBaskerville-Roman" w:hAnsi="NewBaskerville-Roman" w:cs="NewBaskerville-Roman"/>
          <w:sz w:val="18"/>
          <w:szCs w:val="18"/>
        </w:rPr>
        <w:t>The minimum rate of flow shall be not less than one of the following:</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(1) Hydraulically calculated water demand rate of the system, including any hose requirements</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(2)*Flow in accordance with Table 10.10.2.1.3</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(3) Maximum flow rate available to the system under fire conditions</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lastRenderedPageBreak/>
        <w:t>[</w:t>
      </w:r>
      <w:r>
        <w:rPr>
          <w:rFonts w:ascii="NewBaskerville-Bold" w:hAnsi="NewBaskerville-Bold" w:cs="NewBaskerville-Bold"/>
          <w:b/>
          <w:bCs/>
          <w:sz w:val="18"/>
          <w:szCs w:val="18"/>
        </w:rPr>
        <w:t>24:</w:t>
      </w:r>
      <w:r>
        <w:rPr>
          <w:rFonts w:ascii="NewBaskerville-Roman" w:hAnsi="NewBaskerville-Roman" w:cs="NewBaskerville-Roman"/>
          <w:sz w:val="18"/>
          <w:szCs w:val="18"/>
        </w:rPr>
        <w:t>10.10.2.1.3]</w:t>
      </w:r>
    </w:p>
    <w:p w:rsidR="00723E42"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10.10.2.1.4 </w:t>
      </w:r>
      <w:r>
        <w:rPr>
          <w:rFonts w:ascii="NewBaskerville-Roman" w:hAnsi="NewBaskerville-Roman" w:cs="NewBaskerville-Roman"/>
          <w:sz w:val="18"/>
          <w:szCs w:val="18"/>
        </w:rPr>
        <w:t>Provision shall be made for the proper disposal of water used for flushing or testing.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Table 10.10.2.1.3]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3348"/>
      </w:tblGrid>
      <w:tr w:rsidR="0049248C" w:rsidTr="00E30CA0">
        <w:trPr>
          <w:trHeight w:val="5128"/>
        </w:trPr>
        <w:tc>
          <w:tcPr>
            <w:tcW w:w="7668" w:type="dxa"/>
          </w:tcPr>
          <w:p w:rsidR="0049248C" w:rsidRDefault="0049248C" w:rsidP="0049248C">
            <w:pPr>
              <w:autoSpaceDE w:val="0"/>
              <w:autoSpaceDN w:val="0"/>
              <w:adjustRightInd w:val="0"/>
              <w:jc w:val="center"/>
            </w:pPr>
            <w:r>
              <w:rPr>
                <w:noProof/>
              </w:rPr>
              <w:drawing>
                <wp:inline distT="0" distB="0" distL="0" distR="0" wp14:anchorId="1A79CBD0" wp14:editId="4D8CB3B1">
                  <wp:extent cx="3391415" cy="270103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92880" cy="2702204"/>
                          </a:xfrm>
                          <a:prstGeom prst="rect">
                            <a:avLst/>
                          </a:prstGeom>
                          <a:noFill/>
                          <a:ln w="9525">
                            <a:noFill/>
                            <a:miter lim="800000"/>
                            <a:headEnd/>
                            <a:tailEnd/>
                          </a:ln>
                        </pic:spPr>
                      </pic:pic>
                    </a:graphicData>
                  </a:graphic>
                </wp:inline>
              </w:drawing>
            </w:r>
          </w:p>
        </w:tc>
        <w:tc>
          <w:tcPr>
            <w:tcW w:w="3348" w:type="dxa"/>
          </w:tcPr>
          <w:p w:rsidR="0049248C" w:rsidRDefault="0049248C" w:rsidP="0049248C">
            <w:pPr>
              <w:autoSpaceDE w:val="0"/>
              <w:autoSpaceDN w:val="0"/>
              <w:adjustRightInd w:val="0"/>
            </w:pPr>
            <w:r>
              <w:t>No part of the lead-in to the flange may be covered until approved by local AHJ/Fire Marshal.</w:t>
            </w:r>
          </w:p>
          <w:p w:rsidR="00E34FB3" w:rsidRDefault="00E34FB3" w:rsidP="0049248C">
            <w:pPr>
              <w:autoSpaceDE w:val="0"/>
              <w:autoSpaceDN w:val="0"/>
              <w:adjustRightInd w:val="0"/>
            </w:pPr>
          </w:p>
          <w:p w:rsidR="0049248C" w:rsidRDefault="0049248C" w:rsidP="0049248C">
            <w:pPr>
              <w:autoSpaceDE w:val="0"/>
              <w:autoSpaceDN w:val="0"/>
              <w:adjustRightInd w:val="0"/>
            </w:pPr>
            <w:r>
              <w:t>No Riser stack can be fitted until a flush test has been carried out &amp; appropriate documentation returned to the Fire Suppression Company.</w:t>
            </w:r>
          </w:p>
          <w:p w:rsidR="0049248C" w:rsidRDefault="0049248C" w:rsidP="0049248C">
            <w:pPr>
              <w:autoSpaceDE w:val="0"/>
              <w:autoSpaceDN w:val="0"/>
              <w:adjustRightInd w:val="0"/>
              <w:jc w:val="center"/>
              <w:rPr>
                <w:noProof/>
              </w:rPr>
            </w:pPr>
          </w:p>
        </w:tc>
      </w:tr>
      <w:tr w:rsidR="0049248C" w:rsidTr="00E30CA0">
        <w:trPr>
          <w:trHeight w:val="5128"/>
        </w:trPr>
        <w:tc>
          <w:tcPr>
            <w:tcW w:w="7668" w:type="dxa"/>
          </w:tcPr>
          <w:p w:rsidR="0049248C" w:rsidRDefault="0049248C" w:rsidP="00294918">
            <w:pPr>
              <w:autoSpaceDE w:val="0"/>
              <w:autoSpaceDN w:val="0"/>
              <w:adjustRightInd w:val="0"/>
              <w:jc w:val="center"/>
              <w:rPr>
                <w:noProof/>
              </w:rPr>
            </w:pPr>
            <w:r>
              <w:rPr>
                <w:noProof/>
              </w:rPr>
              <w:drawing>
                <wp:inline distT="0" distB="0" distL="0" distR="0" wp14:anchorId="05AAEA5B" wp14:editId="08ED59AA">
                  <wp:extent cx="4473937" cy="3804249"/>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486171" cy="3814651"/>
                          </a:xfrm>
                          <a:prstGeom prst="rect">
                            <a:avLst/>
                          </a:prstGeom>
                          <a:noFill/>
                          <a:ln w="9525">
                            <a:noFill/>
                            <a:miter lim="800000"/>
                            <a:headEnd/>
                            <a:tailEnd/>
                          </a:ln>
                        </pic:spPr>
                      </pic:pic>
                    </a:graphicData>
                  </a:graphic>
                </wp:inline>
              </w:drawing>
            </w:r>
          </w:p>
        </w:tc>
        <w:tc>
          <w:tcPr>
            <w:tcW w:w="3348" w:type="dxa"/>
          </w:tcPr>
          <w:p w:rsidR="0049248C" w:rsidRDefault="009F2BF7" w:rsidP="00C3784A">
            <w:pPr>
              <w:autoSpaceDE w:val="0"/>
              <w:autoSpaceDN w:val="0"/>
              <w:adjustRightInd w:val="0"/>
              <w:rPr>
                <w:noProof/>
              </w:rPr>
            </w:pPr>
            <w:r>
              <w:rPr>
                <w:noProof/>
              </w:rPr>
              <w:t>Must be below Frostline and Lead-Free</w:t>
            </w:r>
            <w:r w:rsidR="00C3784A">
              <w:rPr>
                <w:noProof/>
              </w:rPr>
              <w:t>.</w:t>
            </w:r>
          </w:p>
          <w:p w:rsidR="00C3784A" w:rsidRDefault="00C3784A" w:rsidP="00C3784A">
            <w:pPr>
              <w:autoSpaceDE w:val="0"/>
              <w:autoSpaceDN w:val="0"/>
              <w:adjustRightInd w:val="0"/>
              <w:rPr>
                <w:noProof/>
              </w:rPr>
            </w:pPr>
          </w:p>
          <w:p w:rsidR="00907D98" w:rsidRDefault="00907D98" w:rsidP="00C3784A">
            <w:pPr>
              <w:autoSpaceDE w:val="0"/>
              <w:autoSpaceDN w:val="0"/>
              <w:adjustRightInd w:val="0"/>
              <w:rPr>
                <w:noProof/>
              </w:rPr>
            </w:pPr>
            <w:r>
              <w:rPr>
                <w:noProof/>
              </w:rPr>
              <w:t>Joint restrains required, but not shown.</w:t>
            </w:r>
          </w:p>
        </w:tc>
      </w:tr>
    </w:tbl>
    <w:p w:rsidR="007F3583" w:rsidRDefault="007F3583" w:rsidP="00C51AC9">
      <w:pPr>
        <w:autoSpaceDE w:val="0"/>
        <w:autoSpaceDN w:val="0"/>
        <w:adjustRightInd w:val="0"/>
        <w:spacing w:after="0" w:line="240" w:lineRule="auto"/>
      </w:pPr>
    </w:p>
    <w:p w:rsidR="0049248C" w:rsidRPr="00A566B8" w:rsidRDefault="0049248C" w:rsidP="00C51AC9">
      <w:pPr>
        <w:autoSpaceDE w:val="0"/>
        <w:autoSpaceDN w:val="0"/>
        <w:adjustRightInd w:val="0"/>
        <w:spacing w:after="0" w:line="240" w:lineRule="auto"/>
      </w:pPr>
    </w:p>
    <w:sectPr w:rsidR="0049248C" w:rsidRPr="00A566B8" w:rsidSect="0045742B">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8C" w:rsidRDefault="0049248C" w:rsidP="003B4BC3">
      <w:pPr>
        <w:spacing w:after="0" w:line="240" w:lineRule="auto"/>
      </w:pPr>
      <w:r>
        <w:separator/>
      </w:r>
    </w:p>
  </w:endnote>
  <w:endnote w:type="continuationSeparator" w:id="0">
    <w:p w:rsidR="0049248C" w:rsidRDefault="0049248C"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49248C" w:rsidTr="00EF2790">
      <w:tc>
        <w:tcPr>
          <w:tcW w:w="3672" w:type="dxa"/>
          <w:tcBorders>
            <w:top w:val="nil"/>
            <w:left w:val="nil"/>
            <w:bottom w:val="nil"/>
            <w:right w:val="nil"/>
          </w:tcBorders>
          <w:vAlign w:val="bottom"/>
        </w:tcPr>
        <w:p w:rsidR="0049248C" w:rsidRDefault="005C7ED7">
          <w:pPr>
            <w:pStyle w:val="Footer"/>
            <w:rPr>
              <w:rFonts w:eastAsiaTheme="minorEastAsia" w:cs="Times New Roman"/>
              <w:bCs/>
              <w:noProof/>
              <w:sz w:val="16"/>
              <w:szCs w:val="16"/>
            </w:rPr>
          </w:pPr>
          <w:bookmarkStart w:id="1" w:name="_MailAutoSig"/>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49248C" w:rsidRPr="0039510C">
            <w:rPr>
              <w:rFonts w:eastAsiaTheme="minorEastAsia" w:cs="Times New Roman"/>
              <w:b/>
              <w:bCs/>
              <w:noProof/>
              <w:sz w:val="16"/>
              <w:szCs w:val="16"/>
            </w:rPr>
            <w:t>Arun (Mr.)</w:t>
          </w:r>
          <w:r w:rsidR="0049248C">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49248C" w:rsidRDefault="0049248C"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49248C" w:rsidRDefault="0049248C"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A52EF9">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A52EF9">
            <w:rPr>
              <w:rFonts w:eastAsiaTheme="minorEastAsia" w:cs="Times New Roman"/>
              <w:bCs/>
              <w:noProof/>
              <w:sz w:val="16"/>
              <w:szCs w:val="16"/>
            </w:rPr>
            <w:fldChar w:fldCharType="separate"/>
          </w:r>
          <w:r w:rsidR="005C7ED7">
            <w:rPr>
              <w:rFonts w:eastAsiaTheme="minorEastAsia" w:cs="Times New Roman"/>
              <w:bCs/>
              <w:noProof/>
              <w:sz w:val="16"/>
              <w:szCs w:val="16"/>
            </w:rPr>
            <w:t>1</w:t>
          </w:r>
          <w:r w:rsidR="00A52EF9">
            <w:rPr>
              <w:rFonts w:eastAsiaTheme="minorEastAsia" w:cs="Times New Roman"/>
              <w:bCs/>
              <w:noProof/>
              <w:sz w:val="16"/>
              <w:szCs w:val="16"/>
            </w:rPr>
            <w:fldChar w:fldCharType="end"/>
          </w:r>
          <w:r>
            <w:rPr>
              <w:rFonts w:eastAsiaTheme="minorEastAsia" w:cs="Times New Roman"/>
              <w:bCs/>
              <w:noProof/>
              <w:sz w:val="16"/>
              <w:szCs w:val="16"/>
            </w:rPr>
            <w:t xml:space="preserve">of </w:t>
          </w:r>
          <w:fldSimple w:instr=" SECTIONPAGES  \* Arabic  \* MERGEFORMAT ">
            <w:r w:rsidR="005C7ED7" w:rsidRPr="005C7ED7">
              <w:rPr>
                <w:rFonts w:eastAsiaTheme="minorEastAsia" w:cs="Times New Roman"/>
                <w:bCs/>
                <w:noProof/>
                <w:sz w:val="16"/>
                <w:szCs w:val="16"/>
              </w:rPr>
              <w:t>3</w:t>
            </w:r>
          </w:fldSimple>
        </w:p>
      </w:tc>
    </w:tr>
    <w:bookmarkEnd w:id="1"/>
  </w:tbl>
  <w:p w:rsidR="0049248C" w:rsidRPr="0039510C" w:rsidRDefault="0049248C"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8C" w:rsidRDefault="0049248C" w:rsidP="003B4BC3">
      <w:pPr>
        <w:spacing w:after="0" w:line="240" w:lineRule="auto"/>
      </w:pPr>
      <w:r>
        <w:separator/>
      </w:r>
    </w:p>
  </w:footnote>
  <w:footnote w:type="continuationSeparator" w:id="0">
    <w:p w:rsidR="0049248C" w:rsidRDefault="0049248C"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49248C" w:rsidRPr="00B946CE" w:rsidTr="002C69BF">
      <w:trPr>
        <w:trHeight w:val="347"/>
      </w:trPr>
      <w:tc>
        <w:tcPr>
          <w:tcW w:w="3672" w:type="dxa"/>
          <w:vMerge w:val="restart"/>
        </w:tcPr>
        <w:p w:rsidR="0049248C" w:rsidRPr="00B946CE" w:rsidRDefault="0049248C">
          <w:pPr>
            <w:pStyle w:val="Header"/>
            <w:rPr>
              <w:sz w:val="12"/>
              <w:szCs w:val="12"/>
            </w:rPr>
          </w:pPr>
          <w:r w:rsidRPr="00B946CE">
            <w:rPr>
              <w:noProof/>
              <w:sz w:val="12"/>
              <w:szCs w:val="12"/>
            </w:rPr>
            <w:drawing>
              <wp:inline distT="0" distB="0" distL="0" distR="0" wp14:anchorId="25548059" wp14:editId="35CC908D">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49248C" w:rsidRDefault="0049248C">
          <w:pPr>
            <w:pStyle w:val="Header"/>
            <w:rPr>
              <w:rFonts w:cs="Times New Roman"/>
              <w:b/>
              <w:color w:val="FF0000"/>
              <w:sz w:val="12"/>
              <w:szCs w:val="12"/>
            </w:rPr>
          </w:pPr>
          <w:r w:rsidRPr="00B946CE">
            <w:rPr>
              <w:rFonts w:cs="Times New Roman"/>
              <w:b/>
              <w:color w:val="FF0000"/>
              <w:sz w:val="12"/>
              <w:szCs w:val="12"/>
            </w:rPr>
            <w:t>Fire Suppression Services Incorporated</w:t>
          </w:r>
        </w:p>
        <w:p w:rsidR="0049248C" w:rsidRPr="00B946CE" w:rsidRDefault="00CE6950" w:rsidP="00CE6950">
          <w:pPr>
            <w:pStyle w:val="Header"/>
            <w:rPr>
              <w:sz w:val="12"/>
              <w:szCs w:val="12"/>
            </w:rPr>
          </w:pPr>
          <w:r>
            <w:rPr>
              <w:rFonts w:cs="Times New Roman"/>
              <w:sz w:val="12"/>
              <w:szCs w:val="12"/>
            </w:rPr>
            <w:t>3802 South 2300 East, Millcreek</w:t>
          </w:r>
          <w:r w:rsidR="0049248C" w:rsidRPr="00B946CE">
            <w:rPr>
              <w:rFonts w:cs="Times New Roman"/>
              <w:sz w:val="12"/>
              <w:szCs w:val="12"/>
            </w:rPr>
            <w:t>. UT 84109. Ph (801) 277-6464</w:t>
          </w:r>
        </w:p>
      </w:tc>
      <w:tc>
        <w:tcPr>
          <w:tcW w:w="3672" w:type="dxa"/>
        </w:tcPr>
        <w:p w:rsidR="0049248C" w:rsidRPr="004855BA" w:rsidRDefault="0049248C" w:rsidP="00AF6A2F">
          <w:pPr>
            <w:pStyle w:val="Header"/>
            <w:jc w:val="center"/>
            <w:rPr>
              <w:rFonts w:cs="Times New Roman"/>
              <w:b/>
            </w:rPr>
          </w:pPr>
          <w:r>
            <w:rPr>
              <w:rFonts w:cs="Times New Roman"/>
              <w:b/>
            </w:rPr>
            <w:t>NFPA-13</w:t>
          </w:r>
        </w:p>
      </w:tc>
      <w:tc>
        <w:tcPr>
          <w:tcW w:w="3672" w:type="dxa"/>
        </w:tcPr>
        <w:p w:rsidR="0049248C" w:rsidRPr="005E02E9" w:rsidRDefault="0049248C" w:rsidP="00A67025">
          <w:pPr>
            <w:pStyle w:val="Header"/>
            <w:jc w:val="right"/>
            <w:rPr>
              <w:b/>
              <w:color w:val="365F91" w:themeColor="accent1" w:themeShade="BF"/>
            </w:rPr>
          </w:pPr>
          <w:r>
            <w:rPr>
              <w:rFonts w:cs="Times New Roman"/>
              <w:b/>
              <w:color w:val="365F91" w:themeColor="accent1" w:themeShade="BF"/>
            </w:rPr>
            <w:t>ED</w:t>
          </w:r>
        </w:p>
      </w:tc>
    </w:tr>
    <w:tr w:rsidR="0049248C" w:rsidRPr="00B946CE" w:rsidTr="002C69BF">
      <w:trPr>
        <w:trHeight w:val="346"/>
      </w:trPr>
      <w:tc>
        <w:tcPr>
          <w:tcW w:w="3672" w:type="dxa"/>
          <w:vMerge/>
        </w:tcPr>
        <w:p w:rsidR="0049248C" w:rsidRPr="00B946CE" w:rsidRDefault="0049248C">
          <w:pPr>
            <w:pStyle w:val="Header"/>
            <w:rPr>
              <w:noProof/>
              <w:sz w:val="12"/>
              <w:szCs w:val="12"/>
            </w:rPr>
          </w:pPr>
        </w:p>
      </w:tc>
      <w:tc>
        <w:tcPr>
          <w:tcW w:w="3672" w:type="dxa"/>
        </w:tcPr>
        <w:p w:rsidR="008A1CD6" w:rsidRDefault="008A1CD6" w:rsidP="001A3927">
          <w:pPr>
            <w:pStyle w:val="Header"/>
            <w:jc w:val="center"/>
            <w:rPr>
              <w:rFonts w:cs="Times New Roman"/>
            </w:rPr>
          </w:pPr>
          <w:r>
            <w:rPr>
              <w:rFonts w:cs="Times New Roman"/>
            </w:rPr>
            <w:t>Underground Supply to Fire Riser</w:t>
          </w:r>
        </w:p>
        <w:p w:rsidR="0049248C" w:rsidRPr="009838AC" w:rsidRDefault="0049248C" w:rsidP="001A3927">
          <w:pPr>
            <w:pStyle w:val="Header"/>
            <w:jc w:val="center"/>
            <w:rPr>
              <w:rFonts w:cs="Times New Roman"/>
            </w:rPr>
          </w:pPr>
          <w:r>
            <w:rPr>
              <w:rFonts w:cs="Times New Roman"/>
            </w:rPr>
            <w:t>All Sites</w:t>
          </w:r>
        </w:p>
      </w:tc>
      <w:tc>
        <w:tcPr>
          <w:tcW w:w="3672" w:type="dxa"/>
        </w:tcPr>
        <w:p w:rsidR="0049248C" w:rsidRPr="00B946CE" w:rsidRDefault="0049248C">
          <w:pPr>
            <w:pStyle w:val="Header"/>
          </w:pPr>
        </w:p>
      </w:tc>
    </w:tr>
  </w:tbl>
  <w:p w:rsidR="0049248C" w:rsidRPr="00B946CE" w:rsidRDefault="0049248C" w:rsidP="003B4BC3">
    <w:pPr>
      <w:pStyle w:val="Header"/>
      <w:rPr>
        <w:rFonts w:cs="Times New Roman"/>
        <w:sz w:val="12"/>
        <w:szCs w:val="12"/>
      </w:rPr>
    </w:pPr>
  </w:p>
  <w:p w:rsidR="0049248C" w:rsidRDefault="005C7ED7">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3"/>
  </w:num>
  <w:num w:numId="7">
    <w:abstractNumId w:val="2"/>
  </w:num>
  <w:num w:numId="8">
    <w:abstractNumId w:val="5"/>
  </w:num>
  <w:num w:numId="9">
    <w:abstractNumId w:val="4"/>
  </w:num>
  <w:num w:numId="10">
    <w:abstractNumId w:val="1"/>
  </w:num>
  <w:num w:numId="11">
    <w:abstractNumId w:val="0"/>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42CAB"/>
    <w:rsid w:val="00047344"/>
    <w:rsid w:val="00050B33"/>
    <w:rsid w:val="00070FE4"/>
    <w:rsid w:val="000839A2"/>
    <w:rsid w:val="00086560"/>
    <w:rsid w:val="00094C40"/>
    <w:rsid w:val="000A34DA"/>
    <w:rsid w:val="000A530B"/>
    <w:rsid w:val="000B03C8"/>
    <w:rsid w:val="000C6816"/>
    <w:rsid w:val="000D22E6"/>
    <w:rsid w:val="000E055C"/>
    <w:rsid w:val="000F04DC"/>
    <w:rsid w:val="00100F3E"/>
    <w:rsid w:val="00101703"/>
    <w:rsid w:val="001049FC"/>
    <w:rsid w:val="0013446C"/>
    <w:rsid w:val="00140A72"/>
    <w:rsid w:val="001559E7"/>
    <w:rsid w:val="0016585E"/>
    <w:rsid w:val="001A3927"/>
    <w:rsid w:val="001A6CC9"/>
    <w:rsid w:val="001B7EF2"/>
    <w:rsid w:val="001C4574"/>
    <w:rsid w:val="001C5DA7"/>
    <w:rsid w:val="001D42D1"/>
    <w:rsid w:val="001D7198"/>
    <w:rsid w:val="001E4755"/>
    <w:rsid w:val="001E5BC3"/>
    <w:rsid w:val="001F4A93"/>
    <w:rsid w:val="001F67CB"/>
    <w:rsid w:val="0020688F"/>
    <w:rsid w:val="002236EA"/>
    <w:rsid w:val="00240374"/>
    <w:rsid w:val="0024532D"/>
    <w:rsid w:val="002561C0"/>
    <w:rsid w:val="00280390"/>
    <w:rsid w:val="002937DF"/>
    <w:rsid w:val="00293D60"/>
    <w:rsid w:val="00294918"/>
    <w:rsid w:val="00294D2B"/>
    <w:rsid w:val="002A294B"/>
    <w:rsid w:val="002A54D9"/>
    <w:rsid w:val="002A5AAE"/>
    <w:rsid w:val="002B0568"/>
    <w:rsid w:val="002B630E"/>
    <w:rsid w:val="002C3419"/>
    <w:rsid w:val="002C4660"/>
    <w:rsid w:val="002C69BF"/>
    <w:rsid w:val="002D022B"/>
    <w:rsid w:val="002D269E"/>
    <w:rsid w:val="002D55BE"/>
    <w:rsid w:val="00317AD9"/>
    <w:rsid w:val="003237F4"/>
    <w:rsid w:val="00332BD2"/>
    <w:rsid w:val="00356930"/>
    <w:rsid w:val="00364AD7"/>
    <w:rsid w:val="0038650A"/>
    <w:rsid w:val="0038762C"/>
    <w:rsid w:val="0039510C"/>
    <w:rsid w:val="003975F8"/>
    <w:rsid w:val="003A731A"/>
    <w:rsid w:val="003B4BC3"/>
    <w:rsid w:val="003E3F9E"/>
    <w:rsid w:val="003E6062"/>
    <w:rsid w:val="004011BA"/>
    <w:rsid w:val="004039F6"/>
    <w:rsid w:val="00413AB2"/>
    <w:rsid w:val="00417D42"/>
    <w:rsid w:val="00435F40"/>
    <w:rsid w:val="00435F90"/>
    <w:rsid w:val="004431C3"/>
    <w:rsid w:val="004468A4"/>
    <w:rsid w:val="00453A59"/>
    <w:rsid w:val="00454F7F"/>
    <w:rsid w:val="00456DA7"/>
    <w:rsid w:val="0045742B"/>
    <w:rsid w:val="00465B0F"/>
    <w:rsid w:val="004763F9"/>
    <w:rsid w:val="00483668"/>
    <w:rsid w:val="004855BA"/>
    <w:rsid w:val="0049248C"/>
    <w:rsid w:val="00494D4B"/>
    <w:rsid w:val="004A05BC"/>
    <w:rsid w:val="004A300A"/>
    <w:rsid w:val="004B0F8F"/>
    <w:rsid w:val="004B2E86"/>
    <w:rsid w:val="004C28A8"/>
    <w:rsid w:val="004D3636"/>
    <w:rsid w:val="004D5B51"/>
    <w:rsid w:val="004D66CB"/>
    <w:rsid w:val="004E328E"/>
    <w:rsid w:val="004F0368"/>
    <w:rsid w:val="00506070"/>
    <w:rsid w:val="0050741C"/>
    <w:rsid w:val="005145ED"/>
    <w:rsid w:val="00531C7F"/>
    <w:rsid w:val="00537A64"/>
    <w:rsid w:val="00556BAD"/>
    <w:rsid w:val="00564EC5"/>
    <w:rsid w:val="005655DA"/>
    <w:rsid w:val="00570CF9"/>
    <w:rsid w:val="00577592"/>
    <w:rsid w:val="005837DC"/>
    <w:rsid w:val="00586371"/>
    <w:rsid w:val="005863D4"/>
    <w:rsid w:val="00597AEA"/>
    <w:rsid w:val="005A00DA"/>
    <w:rsid w:val="005A14D9"/>
    <w:rsid w:val="005B7AA4"/>
    <w:rsid w:val="005C7ED7"/>
    <w:rsid w:val="005D1E97"/>
    <w:rsid w:val="005E02E9"/>
    <w:rsid w:val="005E1D65"/>
    <w:rsid w:val="005F7DAA"/>
    <w:rsid w:val="00601334"/>
    <w:rsid w:val="00601478"/>
    <w:rsid w:val="006123C8"/>
    <w:rsid w:val="00613D32"/>
    <w:rsid w:val="006169CD"/>
    <w:rsid w:val="00651279"/>
    <w:rsid w:val="00651960"/>
    <w:rsid w:val="00653CDE"/>
    <w:rsid w:val="00654A9E"/>
    <w:rsid w:val="00673294"/>
    <w:rsid w:val="006A2D70"/>
    <w:rsid w:val="006A72A6"/>
    <w:rsid w:val="006B326E"/>
    <w:rsid w:val="006F3DF4"/>
    <w:rsid w:val="00700093"/>
    <w:rsid w:val="007212E9"/>
    <w:rsid w:val="00722441"/>
    <w:rsid w:val="00723E42"/>
    <w:rsid w:val="007240B1"/>
    <w:rsid w:val="007272A4"/>
    <w:rsid w:val="0073349E"/>
    <w:rsid w:val="007349D7"/>
    <w:rsid w:val="00742A07"/>
    <w:rsid w:val="00767A99"/>
    <w:rsid w:val="00770A58"/>
    <w:rsid w:val="00771408"/>
    <w:rsid w:val="007809E2"/>
    <w:rsid w:val="007A0D32"/>
    <w:rsid w:val="007A5171"/>
    <w:rsid w:val="007D66E0"/>
    <w:rsid w:val="007E0DF2"/>
    <w:rsid w:val="007E30DC"/>
    <w:rsid w:val="007E7CED"/>
    <w:rsid w:val="007F0A08"/>
    <w:rsid w:val="007F3583"/>
    <w:rsid w:val="007F745A"/>
    <w:rsid w:val="007F778B"/>
    <w:rsid w:val="007F7830"/>
    <w:rsid w:val="007F7BB4"/>
    <w:rsid w:val="008069DA"/>
    <w:rsid w:val="00811373"/>
    <w:rsid w:val="00820020"/>
    <w:rsid w:val="008260FF"/>
    <w:rsid w:val="00830754"/>
    <w:rsid w:val="008420A3"/>
    <w:rsid w:val="008542B5"/>
    <w:rsid w:val="008621CA"/>
    <w:rsid w:val="00877375"/>
    <w:rsid w:val="00877701"/>
    <w:rsid w:val="008817E0"/>
    <w:rsid w:val="00886F1B"/>
    <w:rsid w:val="008A1CD6"/>
    <w:rsid w:val="008A4C76"/>
    <w:rsid w:val="008B71A1"/>
    <w:rsid w:val="008C02AE"/>
    <w:rsid w:val="008C2647"/>
    <w:rsid w:val="008D133E"/>
    <w:rsid w:val="008D780A"/>
    <w:rsid w:val="008F2241"/>
    <w:rsid w:val="009049D1"/>
    <w:rsid w:val="00907D98"/>
    <w:rsid w:val="00945053"/>
    <w:rsid w:val="00955CD3"/>
    <w:rsid w:val="009755B5"/>
    <w:rsid w:val="0098113A"/>
    <w:rsid w:val="009838AC"/>
    <w:rsid w:val="009839FB"/>
    <w:rsid w:val="009972FB"/>
    <w:rsid w:val="009C7602"/>
    <w:rsid w:val="009E1F60"/>
    <w:rsid w:val="009E4281"/>
    <w:rsid w:val="009E5D06"/>
    <w:rsid w:val="009F2BF7"/>
    <w:rsid w:val="009F4D50"/>
    <w:rsid w:val="00A03298"/>
    <w:rsid w:val="00A21300"/>
    <w:rsid w:val="00A2382B"/>
    <w:rsid w:val="00A24F3E"/>
    <w:rsid w:val="00A376A4"/>
    <w:rsid w:val="00A505D8"/>
    <w:rsid w:val="00A52EF9"/>
    <w:rsid w:val="00A566B8"/>
    <w:rsid w:val="00A67025"/>
    <w:rsid w:val="00A674A4"/>
    <w:rsid w:val="00A75CD3"/>
    <w:rsid w:val="00A84EDD"/>
    <w:rsid w:val="00A853D2"/>
    <w:rsid w:val="00A9322B"/>
    <w:rsid w:val="00A9383C"/>
    <w:rsid w:val="00A94C64"/>
    <w:rsid w:val="00AA402E"/>
    <w:rsid w:val="00AB3859"/>
    <w:rsid w:val="00AB77D5"/>
    <w:rsid w:val="00AC72D4"/>
    <w:rsid w:val="00AD0F54"/>
    <w:rsid w:val="00AE6638"/>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C1A64"/>
    <w:rsid w:val="00BC2722"/>
    <w:rsid w:val="00BE7ACD"/>
    <w:rsid w:val="00C303BF"/>
    <w:rsid w:val="00C3585A"/>
    <w:rsid w:val="00C3784A"/>
    <w:rsid w:val="00C51AC9"/>
    <w:rsid w:val="00C610CF"/>
    <w:rsid w:val="00C75570"/>
    <w:rsid w:val="00C83E8C"/>
    <w:rsid w:val="00CA3416"/>
    <w:rsid w:val="00CB19A1"/>
    <w:rsid w:val="00CC6689"/>
    <w:rsid w:val="00CE4B7D"/>
    <w:rsid w:val="00CE6950"/>
    <w:rsid w:val="00CF1BE1"/>
    <w:rsid w:val="00CF3CAF"/>
    <w:rsid w:val="00D25C55"/>
    <w:rsid w:val="00D355F8"/>
    <w:rsid w:val="00D4158B"/>
    <w:rsid w:val="00D46496"/>
    <w:rsid w:val="00D55F22"/>
    <w:rsid w:val="00D7455D"/>
    <w:rsid w:val="00D83A4B"/>
    <w:rsid w:val="00D8467A"/>
    <w:rsid w:val="00D858B2"/>
    <w:rsid w:val="00D87084"/>
    <w:rsid w:val="00D95751"/>
    <w:rsid w:val="00DA0D72"/>
    <w:rsid w:val="00DA54E4"/>
    <w:rsid w:val="00DA5D38"/>
    <w:rsid w:val="00DB063C"/>
    <w:rsid w:val="00DB3DBA"/>
    <w:rsid w:val="00DB42D3"/>
    <w:rsid w:val="00DB69D4"/>
    <w:rsid w:val="00DC264C"/>
    <w:rsid w:val="00DC33D0"/>
    <w:rsid w:val="00DC6D04"/>
    <w:rsid w:val="00DE52D5"/>
    <w:rsid w:val="00E013D2"/>
    <w:rsid w:val="00E11158"/>
    <w:rsid w:val="00E2259B"/>
    <w:rsid w:val="00E30CA0"/>
    <w:rsid w:val="00E345A7"/>
    <w:rsid w:val="00E34FB3"/>
    <w:rsid w:val="00E36A03"/>
    <w:rsid w:val="00E57437"/>
    <w:rsid w:val="00E71923"/>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85521"/>
    <w:rsid w:val="00F95FE5"/>
    <w:rsid w:val="00FB106C"/>
    <w:rsid w:val="00FB7548"/>
    <w:rsid w:val="00FD6349"/>
    <w:rsid w:val="00FE60E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D50C-C13B-4385-8E7B-9A9435D6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19</cp:revision>
  <cp:lastPrinted>2012-08-28T22:06:00Z</cp:lastPrinted>
  <dcterms:created xsi:type="dcterms:W3CDTF">2013-11-26T22:53:00Z</dcterms:created>
  <dcterms:modified xsi:type="dcterms:W3CDTF">2019-02-10T16:19:00Z</dcterms:modified>
</cp:coreProperties>
</file>